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November 12, 2014</w:t>
      </w:r>
    </w:p>
    <w:p w:rsidP="00000000" w:rsidRPr="00000000" w:rsidR="00000000" w:rsidDel="00000000" w:rsidRDefault="00000000">
      <w:pPr>
        <w:contextualSpacing w:val="0"/>
      </w:pPr>
      <w:r w:rsidRPr="00000000" w:rsidR="00000000" w:rsidDel="00000000">
        <w:rPr>
          <w:rtl w:val="0"/>
        </w:rPr>
        <w:t xml:space="preserve">Latin I</w:t>
      </w:r>
    </w:p>
    <w:p w:rsidP="00000000" w:rsidRPr="00000000" w:rsidR="00000000" w:rsidDel="00000000" w:rsidRDefault="00000000">
      <w:pPr>
        <w:contextualSpacing w:val="0"/>
        <w:jc w:val="center"/>
      </w:pPr>
      <w:r w:rsidRPr="00000000" w:rsidR="00000000" w:rsidDel="00000000">
        <w:rPr>
          <w:b w:val="1"/>
          <w:u w:val="single"/>
          <w:rtl w:val="0"/>
        </w:rPr>
        <w:t xml:space="preserve">Pompeii</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 this sheet, make notes of anything you find interesting in video. You should have at least 5 observations.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Now, write a more extended response to the video. Questions you could address include “What is similar to our society?” “What is different?” “What do you think it was like to be in Pompeii on that day?” “Did the video make you think about anything else in your life?”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i - pompeii response.docx</dc:title>
</cp:coreProperties>
</file>